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89E1C2" w14:textId="56823264" w:rsidR="00FD3995" w:rsidRPr="00095A66" w:rsidRDefault="009034E5" w:rsidP="009034E5">
      <w:pPr>
        <w:spacing w:after="0"/>
        <w:jc w:val="both"/>
        <w:rPr>
          <w:rFonts w:ascii="Arial" w:hAnsi="Arial" w:cs="Arial"/>
          <w:b/>
          <w:u w:val="single"/>
        </w:rPr>
      </w:pPr>
      <w:r>
        <w:rPr>
          <w:rFonts w:ascii="Arial" w:hAnsi="Arial" w:cs="Arial"/>
          <w:b/>
          <w:bCs/>
          <w:u w:val="single"/>
        </w:rPr>
        <w:t>Ú</w:t>
      </w:r>
      <w:r w:rsidRPr="009034E5">
        <w:rPr>
          <w:rFonts w:ascii="Arial" w:hAnsi="Arial" w:cs="Arial"/>
          <w:b/>
          <w:bCs/>
          <w:u w:val="single"/>
        </w:rPr>
        <w:t>daj</w:t>
      </w:r>
      <w:r>
        <w:rPr>
          <w:rFonts w:ascii="Arial" w:hAnsi="Arial" w:cs="Arial"/>
          <w:b/>
          <w:bCs/>
          <w:u w:val="single"/>
        </w:rPr>
        <w:t>e</w:t>
      </w:r>
      <w:r w:rsidRPr="009034E5">
        <w:rPr>
          <w:rFonts w:ascii="Arial" w:hAnsi="Arial" w:cs="Arial"/>
          <w:b/>
          <w:bCs/>
          <w:u w:val="single"/>
        </w:rPr>
        <w:t xml:space="preserve"> k nedobytným pohledávkám dle zákona o DPH a související exekuční</w:t>
      </w:r>
      <w:r>
        <w:rPr>
          <w:rFonts w:ascii="Arial" w:hAnsi="Arial" w:cs="Arial"/>
          <w:b/>
          <w:bCs/>
          <w:u w:val="single"/>
        </w:rPr>
        <w:t xml:space="preserve"> </w:t>
      </w:r>
      <w:r w:rsidRPr="009034E5">
        <w:rPr>
          <w:rFonts w:ascii="Arial" w:hAnsi="Arial" w:cs="Arial"/>
          <w:b/>
          <w:bCs/>
          <w:u w:val="single"/>
        </w:rPr>
        <w:t>činnosti</w:t>
      </w:r>
      <w:r w:rsidRPr="009034E5">
        <w:rPr>
          <w:rFonts w:ascii="Arial" w:hAnsi="Arial" w:cs="Arial"/>
          <w:b/>
          <w:bCs/>
          <w:u w:val="single"/>
        </w:rPr>
        <w:t xml:space="preserve"> </w:t>
      </w:r>
      <w:r w:rsidR="00FD3995" w:rsidRPr="00095A66">
        <w:rPr>
          <w:rFonts w:ascii="Arial" w:hAnsi="Arial" w:cs="Arial"/>
          <w:b/>
          <w:u w:val="single"/>
        </w:rPr>
        <w:t>(3</w:t>
      </w:r>
      <w:r w:rsidR="00FD3995">
        <w:rPr>
          <w:rFonts w:ascii="Arial" w:hAnsi="Arial" w:cs="Arial"/>
          <w:b/>
          <w:u w:val="single"/>
        </w:rPr>
        <w:t>6</w:t>
      </w:r>
      <w:r w:rsidR="00FD3995" w:rsidRPr="00095A66">
        <w:rPr>
          <w:rFonts w:ascii="Arial" w:hAnsi="Arial" w:cs="Arial"/>
          <w:b/>
          <w:u w:val="single"/>
        </w:rPr>
        <w:t xml:space="preserve">/25) </w:t>
      </w:r>
    </w:p>
    <w:p w14:paraId="4AA6B5E7" w14:textId="77777777" w:rsidR="00FD3995" w:rsidRPr="00095A66" w:rsidRDefault="00FD3995" w:rsidP="00FD3995">
      <w:pPr>
        <w:spacing w:after="0" w:line="276" w:lineRule="auto"/>
        <w:jc w:val="both"/>
        <w:rPr>
          <w:rFonts w:ascii="Arial" w:hAnsi="Arial" w:cs="Arial"/>
          <w:b/>
          <w:u w:val="single"/>
        </w:rPr>
      </w:pPr>
    </w:p>
    <w:p w14:paraId="789D445E" w14:textId="77777777" w:rsidR="00FD3995" w:rsidRPr="00095A66" w:rsidRDefault="00FD3995" w:rsidP="00FD3995">
      <w:pPr>
        <w:spacing w:line="276" w:lineRule="auto"/>
        <w:jc w:val="both"/>
        <w:rPr>
          <w:rFonts w:ascii="Arial" w:hAnsi="Arial" w:cs="Arial"/>
          <w:b/>
          <w:u w:val="single"/>
        </w:rPr>
      </w:pPr>
      <w:r w:rsidRPr="00095A66">
        <w:rPr>
          <w:rFonts w:ascii="Arial" w:hAnsi="Arial" w:cs="Arial"/>
          <w:b/>
          <w:u w:val="single"/>
        </w:rPr>
        <w:t xml:space="preserve">Dotaz: </w:t>
      </w:r>
    </w:p>
    <w:p w14:paraId="2B28E888" w14:textId="1A6762FA" w:rsidR="00FD3995" w:rsidRDefault="00FD3995" w:rsidP="00FD3995">
      <w:pPr>
        <w:pStyle w:val="Default"/>
        <w:spacing w:after="240" w:line="276" w:lineRule="auto"/>
        <w:jc w:val="both"/>
        <w:rPr>
          <w:rFonts w:ascii="Arial" w:eastAsiaTheme="minorHAnsi" w:hAnsi="Arial" w:cs="Arial"/>
          <w:sz w:val="22"/>
          <w:szCs w:val="22"/>
          <w14:ligatures w14:val="standardContextual"/>
        </w:rPr>
      </w:pPr>
      <w:r w:rsidRPr="00095A66">
        <w:rPr>
          <w:rFonts w:ascii="Arial" w:hAnsi="Arial" w:cs="Arial"/>
        </w:rPr>
        <w:t xml:space="preserve">Žádám </w:t>
      </w:r>
      <w:r w:rsidRPr="0080754B">
        <w:rPr>
          <w:rFonts w:ascii="Arial" w:eastAsiaTheme="minorHAnsi" w:hAnsi="Arial" w:cs="Arial"/>
          <w:sz w:val="22"/>
          <w:szCs w:val="22"/>
          <w14:ligatures w14:val="standardContextual"/>
        </w:rPr>
        <w:t xml:space="preserve">o poskytnutí </w:t>
      </w:r>
      <w:r>
        <w:rPr>
          <w:rFonts w:ascii="Arial" w:eastAsiaTheme="minorHAnsi" w:hAnsi="Arial" w:cs="Arial"/>
          <w:sz w:val="22"/>
          <w:szCs w:val="22"/>
          <w14:ligatures w14:val="standardContextual"/>
        </w:rPr>
        <w:t xml:space="preserve">statistických údajů týkajících se DPH u nedobytných pohledávek od roku 2011 až dosud; konkrétně měsíční úhrny částek vykázaných na řádku 33 a 34 daňového přiznání k DPH, měsíční úhrny vykázaných částek v kontrolních hlášeních (dále jen „KH“), které měly uvedeno v kolonce „Opravy u nedobytné pohledávky“ kód A </w:t>
      </w:r>
      <w:proofErr w:type="spellStart"/>
      <w:r>
        <w:rPr>
          <w:rFonts w:ascii="Arial" w:eastAsiaTheme="minorHAnsi" w:hAnsi="Arial" w:cs="Arial"/>
          <w:sz w:val="22"/>
          <w:szCs w:val="22"/>
          <w14:ligatures w14:val="standardContextual"/>
        </w:rPr>
        <w:t>a</w:t>
      </w:r>
      <w:proofErr w:type="spellEnd"/>
      <w:r>
        <w:rPr>
          <w:rFonts w:ascii="Arial" w:eastAsiaTheme="minorHAnsi" w:hAnsi="Arial" w:cs="Arial"/>
          <w:sz w:val="22"/>
          <w:szCs w:val="22"/>
          <w14:ligatures w14:val="standardContextual"/>
        </w:rPr>
        <w:t xml:space="preserve"> kód P. Současně žád</w:t>
      </w:r>
      <w:r>
        <w:rPr>
          <w:rFonts w:ascii="Arial" w:eastAsiaTheme="minorHAnsi" w:hAnsi="Arial" w:cs="Arial"/>
          <w:sz w:val="22"/>
          <w:szCs w:val="22"/>
          <w14:ligatures w14:val="standardContextual"/>
        </w:rPr>
        <w:t xml:space="preserve">ám </w:t>
      </w:r>
      <w:r>
        <w:rPr>
          <w:rFonts w:ascii="Arial" w:eastAsiaTheme="minorHAnsi" w:hAnsi="Arial" w:cs="Arial"/>
          <w:sz w:val="22"/>
          <w:szCs w:val="22"/>
          <w14:ligatures w14:val="standardContextual"/>
        </w:rPr>
        <w:t xml:space="preserve">o statistické údaje o vymožených dluzích týkajících se § 74b zákona o dani z přidané hodnoty (resp. § 44 téhož zákona) od roku 2011 až dosud. </w:t>
      </w:r>
    </w:p>
    <w:p w14:paraId="2BAACB4F" w14:textId="5B6D6F2A" w:rsidR="00FD3995" w:rsidRPr="00095A66" w:rsidRDefault="00FD3995" w:rsidP="00FD3995">
      <w:pPr>
        <w:autoSpaceDE w:val="0"/>
        <w:autoSpaceDN w:val="0"/>
        <w:adjustRightInd w:val="0"/>
        <w:jc w:val="both"/>
        <w:rPr>
          <w:rFonts w:ascii="Arial" w:hAnsi="Arial" w:cs="Arial"/>
          <w:b/>
          <w:u w:val="single"/>
        </w:rPr>
      </w:pPr>
      <w:r w:rsidRPr="00095A66">
        <w:rPr>
          <w:rFonts w:ascii="Arial" w:hAnsi="Arial" w:cs="Arial"/>
          <w:b/>
          <w:u w:val="single"/>
        </w:rPr>
        <w:t xml:space="preserve">Odpověď: </w:t>
      </w:r>
    </w:p>
    <w:p w14:paraId="30806676" w14:textId="41FBD03D" w:rsidR="009034E5" w:rsidRPr="0015217C" w:rsidRDefault="009034E5" w:rsidP="009034E5">
      <w:pPr>
        <w:pStyle w:val="Default"/>
        <w:spacing w:after="240" w:line="276" w:lineRule="auto"/>
        <w:jc w:val="both"/>
        <w:rPr>
          <w:rFonts w:ascii="Arial" w:eastAsiaTheme="minorHAnsi" w:hAnsi="Arial" w:cs="Arial"/>
          <w:sz w:val="22"/>
          <w:szCs w:val="22"/>
        </w:rPr>
      </w:pPr>
      <w:r>
        <w:rPr>
          <w:rFonts w:ascii="Arial" w:eastAsiaTheme="minorHAnsi" w:hAnsi="Arial" w:cs="Arial"/>
          <w:sz w:val="22"/>
          <w:szCs w:val="22"/>
        </w:rPr>
        <w:t>V příloze naleznete</w:t>
      </w:r>
      <w:r w:rsidRPr="0015217C">
        <w:rPr>
          <w:rFonts w:ascii="Arial" w:eastAsiaTheme="minorHAnsi" w:hAnsi="Arial" w:cs="Arial"/>
          <w:sz w:val="22"/>
          <w:szCs w:val="22"/>
        </w:rPr>
        <w:t xml:space="preserve"> 2 soubory obsahující následující informace:</w:t>
      </w:r>
    </w:p>
    <w:p w14:paraId="48E78F23" w14:textId="77777777" w:rsidR="009034E5" w:rsidRPr="0015217C" w:rsidRDefault="009034E5" w:rsidP="009034E5">
      <w:pPr>
        <w:pStyle w:val="Default"/>
        <w:numPr>
          <w:ilvl w:val="0"/>
          <w:numId w:val="1"/>
        </w:numPr>
        <w:spacing w:after="240" w:line="276" w:lineRule="auto"/>
        <w:ind w:left="708"/>
        <w:jc w:val="both"/>
        <w:rPr>
          <w:rFonts w:ascii="Arial" w:eastAsiaTheme="minorHAnsi" w:hAnsi="Arial" w:cs="Arial"/>
          <w:sz w:val="22"/>
          <w:szCs w:val="22"/>
        </w:rPr>
      </w:pPr>
      <w:r w:rsidRPr="0015217C">
        <w:rPr>
          <w:rFonts w:ascii="Arial" w:eastAsiaTheme="minorHAnsi" w:hAnsi="Arial" w:cs="Arial"/>
          <w:sz w:val="22"/>
          <w:szCs w:val="22"/>
        </w:rPr>
        <w:t>V příloze s názvem „</w:t>
      </w:r>
      <w:r w:rsidRPr="0015217C">
        <w:rPr>
          <w:rFonts w:ascii="Arial" w:eastAsiaTheme="minorHAnsi" w:hAnsi="Arial" w:cs="Arial"/>
          <w:i/>
          <w:iCs/>
          <w:sz w:val="22"/>
          <w:szCs w:val="22"/>
        </w:rPr>
        <w:t>DPH_r</w:t>
      </w:r>
      <w:proofErr w:type="gramStart"/>
      <w:r w:rsidRPr="0015217C">
        <w:rPr>
          <w:rFonts w:ascii="Arial" w:eastAsiaTheme="minorHAnsi" w:hAnsi="Arial" w:cs="Arial"/>
          <w:i/>
          <w:iCs/>
          <w:sz w:val="22"/>
          <w:szCs w:val="22"/>
        </w:rPr>
        <w:t>33,r34_ZO_2011-2025.xlsx</w:t>
      </w:r>
      <w:proofErr w:type="gramEnd"/>
      <w:r w:rsidRPr="0015217C">
        <w:rPr>
          <w:rFonts w:ascii="Arial" w:eastAsiaTheme="minorHAnsi" w:hAnsi="Arial" w:cs="Arial"/>
          <w:sz w:val="22"/>
          <w:szCs w:val="22"/>
        </w:rPr>
        <w:t>“ uvádíme počty a sumy částek na řádcích 33 a 34 daňového přiznání k DPH dle jednotlivých zdaňovacích období od roku 2011.</w:t>
      </w:r>
    </w:p>
    <w:p w14:paraId="766B1C7C" w14:textId="77777777" w:rsidR="009034E5" w:rsidRPr="0015217C" w:rsidRDefault="009034E5" w:rsidP="009034E5">
      <w:pPr>
        <w:pStyle w:val="Default"/>
        <w:spacing w:after="240" w:line="276" w:lineRule="auto"/>
        <w:ind w:left="708"/>
        <w:jc w:val="both"/>
        <w:rPr>
          <w:rFonts w:ascii="Arial" w:eastAsiaTheme="minorHAnsi" w:hAnsi="Arial" w:cs="Arial"/>
          <w:sz w:val="22"/>
          <w:szCs w:val="22"/>
        </w:rPr>
      </w:pPr>
      <w:r w:rsidRPr="0015217C">
        <w:rPr>
          <w:rFonts w:ascii="Arial" w:eastAsiaTheme="minorHAnsi" w:hAnsi="Arial" w:cs="Arial"/>
          <w:sz w:val="22"/>
          <w:szCs w:val="22"/>
        </w:rPr>
        <w:t>V případech, kdy za zdaňovací období byl počet výskytů na daném řádku menší než 3, jsou hodnoty vymazány (označeno žlutě) z důvodu ochrany důvěrnosti majetkových poměrů těchto osob (výluka § 10 zákona o svobodném přístupu k informacím).</w:t>
      </w:r>
    </w:p>
    <w:p w14:paraId="0630BB09" w14:textId="77777777" w:rsidR="009034E5" w:rsidRPr="0015217C" w:rsidRDefault="009034E5" w:rsidP="009034E5">
      <w:pPr>
        <w:pStyle w:val="Default"/>
        <w:numPr>
          <w:ilvl w:val="0"/>
          <w:numId w:val="1"/>
        </w:numPr>
        <w:spacing w:after="240" w:line="276" w:lineRule="auto"/>
        <w:ind w:left="709"/>
        <w:jc w:val="both"/>
        <w:rPr>
          <w:rFonts w:ascii="Arial" w:eastAsiaTheme="minorHAnsi" w:hAnsi="Arial" w:cs="Arial"/>
          <w:sz w:val="22"/>
          <w:szCs w:val="22"/>
        </w:rPr>
      </w:pPr>
      <w:r w:rsidRPr="0015217C">
        <w:rPr>
          <w:rFonts w:ascii="Arial" w:eastAsiaTheme="minorHAnsi" w:hAnsi="Arial" w:cs="Arial"/>
          <w:sz w:val="22"/>
          <w:szCs w:val="22"/>
        </w:rPr>
        <w:t>V příloze s názvem „</w:t>
      </w:r>
      <w:r w:rsidRPr="0015217C">
        <w:rPr>
          <w:rFonts w:ascii="Arial" w:eastAsiaTheme="minorHAnsi" w:hAnsi="Arial" w:cs="Arial"/>
          <w:i/>
          <w:iCs/>
          <w:sz w:val="22"/>
          <w:szCs w:val="22"/>
        </w:rPr>
        <w:t>nedobytne_pohledavky_KH.xlsx</w:t>
      </w:r>
      <w:r w:rsidRPr="0015217C">
        <w:rPr>
          <w:rFonts w:ascii="Arial" w:eastAsiaTheme="minorHAnsi" w:hAnsi="Arial" w:cs="Arial"/>
          <w:sz w:val="22"/>
          <w:szCs w:val="22"/>
        </w:rPr>
        <w:t>“ jsou uvedena data ke KH.</w:t>
      </w:r>
    </w:p>
    <w:p w14:paraId="1683F0A9" w14:textId="77777777" w:rsidR="009034E5" w:rsidRPr="0015217C" w:rsidRDefault="009034E5" w:rsidP="009034E5">
      <w:pPr>
        <w:pStyle w:val="Default"/>
        <w:spacing w:after="240" w:line="276" w:lineRule="auto"/>
        <w:ind w:left="708"/>
        <w:jc w:val="both"/>
        <w:rPr>
          <w:rFonts w:ascii="Arial" w:eastAsiaTheme="minorHAnsi" w:hAnsi="Arial" w:cs="Arial"/>
          <w:sz w:val="22"/>
          <w:szCs w:val="22"/>
        </w:rPr>
      </w:pPr>
      <w:r w:rsidRPr="0015217C">
        <w:rPr>
          <w:rFonts w:ascii="Arial" w:eastAsiaTheme="minorHAnsi" w:hAnsi="Arial" w:cs="Arial"/>
          <w:sz w:val="22"/>
          <w:szCs w:val="22"/>
        </w:rPr>
        <w:t>Vysvětlivka k sloupci „</w:t>
      </w:r>
      <w:r w:rsidRPr="0015217C">
        <w:rPr>
          <w:rFonts w:ascii="Arial" w:eastAsiaTheme="minorHAnsi" w:hAnsi="Arial" w:cs="Arial"/>
          <w:i/>
          <w:iCs/>
          <w:sz w:val="22"/>
          <w:szCs w:val="22"/>
        </w:rPr>
        <w:t>opravy u nedobytné pohledávky</w:t>
      </w:r>
      <w:r w:rsidRPr="0015217C">
        <w:rPr>
          <w:rFonts w:ascii="Arial" w:eastAsiaTheme="minorHAnsi" w:hAnsi="Arial" w:cs="Arial"/>
          <w:sz w:val="22"/>
          <w:szCs w:val="22"/>
        </w:rPr>
        <w:t>“:</w:t>
      </w:r>
    </w:p>
    <w:p w14:paraId="5EB43332" w14:textId="77777777" w:rsidR="009034E5" w:rsidRPr="0015217C" w:rsidRDefault="009034E5" w:rsidP="009034E5">
      <w:pPr>
        <w:pStyle w:val="Default"/>
        <w:spacing w:after="240" w:line="276" w:lineRule="auto"/>
        <w:ind w:left="708"/>
        <w:jc w:val="both"/>
        <w:rPr>
          <w:rFonts w:ascii="Arial" w:eastAsiaTheme="minorHAnsi" w:hAnsi="Arial" w:cs="Arial"/>
          <w:sz w:val="22"/>
          <w:szCs w:val="22"/>
        </w:rPr>
      </w:pPr>
      <w:r w:rsidRPr="0015217C">
        <w:rPr>
          <w:rFonts w:ascii="Arial" w:eastAsiaTheme="minorHAnsi" w:hAnsi="Arial" w:cs="Arial"/>
          <w:sz w:val="22"/>
          <w:szCs w:val="22"/>
        </w:rPr>
        <w:t>- „P“ – jedná se o opravu podle § 74b ZDPH (§ 74a ZDPH, ve znění do 31.12.2024)</w:t>
      </w:r>
    </w:p>
    <w:p w14:paraId="421D0105" w14:textId="77777777" w:rsidR="009034E5" w:rsidRDefault="009034E5" w:rsidP="009034E5">
      <w:pPr>
        <w:pStyle w:val="Default"/>
        <w:spacing w:after="240" w:line="276" w:lineRule="auto"/>
        <w:ind w:left="708"/>
        <w:jc w:val="both"/>
        <w:rPr>
          <w:rFonts w:ascii="Arial" w:eastAsiaTheme="minorHAnsi" w:hAnsi="Arial" w:cs="Arial"/>
          <w:sz w:val="22"/>
          <w:szCs w:val="22"/>
        </w:rPr>
      </w:pPr>
      <w:r w:rsidRPr="0015217C">
        <w:rPr>
          <w:rFonts w:ascii="Arial" w:eastAsiaTheme="minorHAnsi" w:hAnsi="Arial" w:cs="Arial"/>
          <w:sz w:val="22"/>
          <w:szCs w:val="22"/>
        </w:rPr>
        <w:t>- „A“ – jedná se o opravu podle § 44 ZDPH, ve znění do 31.3.2019</w:t>
      </w:r>
      <w:r>
        <w:rPr>
          <w:rFonts w:ascii="Arial" w:eastAsiaTheme="minorHAnsi" w:hAnsi="Arial" w:cs="Arial"/>
          <w:sz w:val="22"/>
          <w:szCs w:val="22"/>
        </w:rPr>
        <w:t xml:space="preserve">. </w:t>
      </w:r>
    </w:p>
    <w:p w14:paraId="6DBD0052" w14:textId="77777777" w:rsidR="009034E5" w:rsidRPr="0015217C" w:rsidRDefault="009034E5" w:rsidP="009034E5">
      <w:pPr>
        <w:pStyle w:val="Default"/>
        <w:spacing w:after="240" w:line="276" w:lineRule="auto"/>
        <w:ind w:left="708"/>
        <w:jc w:val="both"/>
        <w:rPr>
          <w:rFonts w:ascii="Arial" w:eastAsiaTheme="minorHAnsi" w:hAnsi="Arial" w:cs="Arial"/>
          <w:sz w:val="22"/>
          <w:szCs w:val="22"/>
        </w:rPr>
      </w:pPr>
      <w:r w:rsidRPr="0015217C">
        <w:rPr>
          <w:rFonts w:ascii="Arial" w:eastAsiaTheme="minorHAnsi" w:hAnsi="Arial" w:cs="Arial"/>
          <w:sz w:val="22"/>
          <w:szCs w:val="22"/>
        </w:rPr>
        <w:t>V případech, kdy za dané zdaňovací období byl počet KH menší než 3 jsou hodnoty stejně jako u předchozího vymazány (označeno žlutě).</w:t>
      </w:r>
    </w:p>
    <w:p w14:paraId="06C22C06" w14:textId="77777777" w:rsidR="009034E5" w:rsidRPr="0015217C" w:rsidRDefault="009034E5" w:rsidP="009034E5">
      <w:pPr>
        <w:pStyle w:val="Default"/>
        <w:spacing w:after="240" w:line="276" w:lineRule="auto"/>
        <w:jc w:val="both"/>
        <w:rPr>
          <w:rFonts w:ascii="Arial" w:eastAsiaTheme="minorHAnsi" w:hAnsi="Arial" w:cs="Arial"/>
          <w:sz w:val="22"/>
          <w:szCs w:val="22"/>
        </w:rPr>
      </w:pPr>
      <w:r w:rsidRPr="0015217C">
        <w:rPr>
          <w:rFonts w:ascii="Arial" w:eastAsiaTheme="minorHAnsi" w:hAnsi="Arial" w:cs="Arial"/>
          <w:sz w:val="22"/>
          <w:szCs w:val="22"/>
        </w:rPr>
        <w:t>K žádosti o přehled vymožených dluhů správcem daně je nutno konstatovat:</w:t>
      </w:r>
    </w:p>
    <w:p w14:paraId="621F9AC0" w14:textId="77777777" w:rsidR="009034E5" w:rsidRPr="0015217C" w:rsidRDefault="009034E5" w:rsidP="009034E5">
      <w:pPr>
        <w:pStyle w:val="Default"/>
        <w:spacing w:after="240" w:line="276" w:lineRule="auto"/>
        <w:jc w:val="both"/>
        <w:rPr>
          <w:rFonts w:ascii="Arial" w:eastAsiaTheme="minorHAnsi" w:hAnsi="Arial" w:cs="Arial"/>
          <w:sz w:val="22"/>
          <w:szCs w:val="22"/>
        </w:rPr>
      </w:pPr>
      <w:r w:rsidRPr="0015217C">
        <w:rPr>
          <w:rFonts w:ascii="Arial" w:eastAsiaTheme="minorHAnsi" w:hAnsi="Arial" w:cs="Arial"/>
          <w:sz w:val="22"/>
          <w:szCs w:val="22"/>
        </w:rPr>
        <w:t>Tyto dluhy vznikly snížením uplatněného odpočtu daně kvůli opravě základu daně. Opravy se týkají nedobytných pohledávek, změn výše opravy určené odhadem nebo dodatečných oprav základu daně. Tyto údaje nejsou sledovány samostatně, a proto je nelze poskytnout.</w:t>
      </w:r>
    </w:p>
    <w:p w14:paraId="718096E8" w14:textId="77777777" w:rsidR="009034E5" w:rsidRPr="0015217C" w:rsidRDefault="009034E5" w:rsidP="009034E5">
      <w:pPr>
        <w:pStyle w:val="Default"/>
        <w:spacing w:after="240" w:line="276" w:lineRule="auto"/>
        <w:jc w:val="both"/>
        <w:rPr>
          <w:rFonts w:ascii="Arial" w:eastAsiaTheme="minorHAnsi" w:hAnsi="Arial" w:cs="Arial"/>
          <w:sz w:val="22"/>
          <w:szCs w:val="22"/>
        </w:rPr>
      </w:pPr>
      <w:r w:rsidRPr="0015217C">
        <w:rPr>
          <w:rFonts w:ascii="Arial" w:eastAsiaTheme="minorHAnsi" w:hAnsi="Arial" w:cs="Arial"/>
          <w:sz w:val="22"/>
          <w:szCs w:val="22"/>
        </w:rPr>
        <w:t>Podle zák. č. 280/2009 Sb., daňový řád, správce daně vede evidenci daní. Zaznamenává stanovení daně, vznik, splnění nebo zánik daňových povinností. Tyto údaje jsou evidovány na osobních daňových účtech pro každou daň zvlášť. Na daňových účtech jsou všechny daňové povinnosti, tj. přeplatky i nedoplatky. Nedoplatky a stavy účtů se mění podle aktuálních plateb a nových daňových povinností.</w:t>
      </w:r>
    </w:p>
    <w:p w14:paraId="6D2A3658" w14:textId="77777777" w:rsidR="009034E5" w:rsidRPr="0015217C" w:rsidRDefault="009034E5" w:rsidP="009034E5">
      <w:pPr>
        <w:pStyle w:val="Default"/>
        <w:spacing w:after="240" w:line="276" w:lineRule="auto"/>
        <w:jc w:val="both"/>
        <w:rPr>
          <w:rFonts w:ascii="Arial" w:eastAsiaTheme="minorHAnsi" w:hAnsi="Arial" w:cs="Arial"/>
          <w:sz w:val="22"/>
          <w:szCs w:val="22"/>
        </w:rPr>
      </w:pPr>
      <w:r w:rsidRPr="0015217C">
        <w:rPr>
          <w:rFonts w:ascii="Arial" w:eastAsiaTheme="minorHAnsi" w:hAnsi="Arial" w:cs="Arial"/>
          <w:sz w:val="22"/>
          <w:szCs w:val="22"/>
        </w:rPr>
        <w:t xml:space="preserve">Nedoplatek je částka daně, která nebyla uhrazena do dne splatnosti. Tyto nedoplatky jsou pak vymáhány vč. úroků, penále a pokut. Nejsou vymáhány jednotlivé pohledávky, ale nedoplatky jako celek. Dobrovolně uhrazené povinnosti i vymožené prostředky se použijí na úhradu splatných pohledávek podle zákonných priorit, vizte § 152 daňového řádu. Nedoplatky vzniklé </w:t>
      </w:r>
      <w:r w:rsidRPr="0015217C">
        <w:rPr>
          <w:rFonts w:ascii="Arial" w:eastAsiaTheme="minorHAnsi" w:hAnsi="Arial" w:cs="Arial"/>
          <w:sz w:val="22"/>
          <w:szCs w:val="22"/>
        </w:rPr>
        <w:lastRenderedPageBreak/>
        <w:t>snížením uplatněného odpočtu daně kvůli opravě základu daně proto nejsou samostatně sledovány a vykazovány.</w:t>
      </w:r>
    </w:p>
    <w:p w14:paraId="0773B5C0" w14:textId="77777777" w:rsidR="009034E5" w:rsidRPr="00427F73" w:rsidRDefault="009034E5" w:rsidP="009034E5">
      <w:pPr>
        <w:pStyle w:val="Default"/>
        <w:spacing w:after="240" w:line="276" w:lineRule="auto"/>
        <w:jc w:val="both"/>
        <w:rPr>
          <w:rFonts w:ascii="Arial" w:eastAsiaTheme="minorHAnsi" w:hAnsi="Arial" w:cs="Arial"/>
          <w:sz w:val="22"/>
          <w:szCs w:val="22"/>
        </w:rPr>
      </w:pPr>
    </w:p>
    <w:p w14:paraId="569EC477" w14:textId="77777777" w:rsidR="001E1838" w:rsidRDefault="001E1838"/>
    <w:sectPr w:rsidR="001E183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EB4589D"/>
    <w:multiLevelType w:val="hybridMultilevel"/>
    <w:tmpl w:val="C3760452"/>
    <w:lvl w:ilvl="0" w:tplc="671630FC">
      <w:start w:val="1"/>
      <w:numFmt w:val="lowerLetter"/>
      <w:lvlText w:val="%1)"/>
      <w:lvlJc w:val="left"/>
      <w:pPr>
        <w:ind w:left="1068"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num w:numId="1" w16cid:durableId="1161447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3995"/>
    <w:rsid w:val="001E1838"/>
    <w:rsid w:val="0039549D"/>
    <w:rsid w:val="00633B1F"/>
    <w:rsid w:val="0063463A"/>
    <w:rsid w:val="008A4FD7"/>
    <w:rsid w:val="009034E5"/>
    <w:rsid w:val="00FD3995"/>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2C8D68"/>
  <w15:chartTrackingRefBased/>
  <w15:docId w15:val="{88838053-BAF4-4E32-824A-90D60800FD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cs-CZ"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FD3995"/>
    <w:rPr>
      <w:kern w:val="0"/>
      <w14:ligatures w14:val="none"/>
    </w:rPr>
  </w:style>
  <w:style w:type="paragraph" w:styleId="Nadpis1">
    <w:name w:val="heading 1"/>
    <w:basedOn w:val="Normln"/>
    <w:next w:val="Normln"/>
    <w:link w:val="Nadpis1Char"/>
    <w:uiPriority w:val="9"/>
    <w:qFormat/>
    <w:rsid w:val="00FD399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dpis2">
    <w:name w:val="heading 2"/>
    <w:basedOn w:val="Normln"/>
    <w:next w:val="Normln"/>
    <w:link w:val="Nadpis2Char"/>
    <w:uiPriority w:val="9"/>
    <w:semiHidden/>
    <w:unhideWhenUsed/>
    <w:qFormat/>
    <w:rsid w:val="00FD399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dpis3">
    <w:name w:val="heading 3"/>
    <w:basedOn w:val="Normln"/>
    <w:next w:val="Normln"/>
    <w:link w:val="Nadpis3Char"/>
    <w:uiPriority w:val="9"/>
    <w:semiHidden/>
    <w:unhideWhenUsed/>
    <w:qFormat/>
    <w:rsid w:val="00FD3995"/>
    <w:pPr>
      <w:keepNext/>
      <w:keepLines/>
      <w:spacing w:before="160" w:after="80"/>
      <w:outlineLvl w:val="2"/>
    </w:pPr>
    <w:rPr>
      <w:rFonts w:eastAsiaTheme="majorEastAsia" w:cstheme="majorBidi"/>
      <w:color w:val="0F4761" w:themeColor="accent1" w:themeShade="BF"/>
      <w:sz w:val="28"/>
      <w:szCs w:val="28"/>
    </w:rPr>
  </w:style>
  <w:style w:type="paragraph" w:styleId="Nadpis4">
    <w:name w:val="heading 4"/>
    <w:basedOn w:val="Normln"/>
    <w:next w:val="Normln"/>
    <w:link w:val="Nadpis4Char"/>
    <w:uiPriority w:val="9"/>
    <w:semiHidden/>
    <w:unhideWhenUsed/>
    <w:qFormat/>
    <w:rsid w:val="00FD3995"/>
    <w:pPr>
      <w:keepNext/>
      <w:keepLines/>
      <w:spacing w:before="80" w:after="40"/>
      <w:outlineLvl w:val="3"/>
    </w:pPr>
    <w:rPr>
      <w:rFonts w:eastAsiaTheme="majorEastAsia" w:cstheme="majorBidi"/>
      <w:i/>
      <w:iCs/>
      <w:color w:val="0F4761" w:themeColor="accent1" w:themeShade="BF"/>
    </w:rPr>
  </w:style>
  <w:style w:type="paragraph" w:styleId="Nadpis5">
    <w:name w:val="heading 5"/>
    <w:basedOn w:val="Normln"/>
    <w:next w:val="Normln"/>
    <w:link w:val="Nadpis5Char"/>
    <w:uiPriority w:val="9"/>
    <w:semiHidden/>
    <w:unhideWhenUsed/>
    <w:qFormat/>
    <w:rsid w:val="00FD3995"/>
    <w:pPr>
      <w:keepNext/>
      <w:keepLines/>
      <w:spacing w:before="80" w:after="40"/>
      <w:outlineLvl w:val="4"/>
    </w:pPr>
    <w:rPr>
      <w:rFonts w:eastAsiaTheme="majorEastAsia" w:cstheme="majorBidi"/>
      <w:color w:val="0F4761" w:themeColor="accent1" w:themeShade="BF"/>
    </w:rPr>
  </w:style>
  <w:style w:type="paragraph" w:styleId="Nadpis6">
    <w:name w:val="heading 6"/>
    <w:basedOn w:val="Normln"/>
    <w:next w:val="Normln"/>
    <w:link w:val="Nadpis6Char"/>
    <w:uiPriority w:val="9"/>
    <w:semiHidden/>
    <w:unhideWhenUsed/>
    <w:qFormat/>
    <w:rsid w:val="00FD3995"/>
    <w:pPr>
      <w:keepNext/>
      <w:keepLines/>
      <w:spacing w:before="40" w:after="0"/>
      <w:outlineLvl w:val="5"/>
    </w:pPr>
    <w:rPr>
      <w:rFonts w:eastAsiaTheme="majorEastAsia" w:cstheme="majorBidi"/>
      <w:i/>
      <w:iCs/>
      <w:color w:val="595959" w:themeColor="text1" w:themeTint="A6"/>
    </w:rPr>
  </w:style>
  <w:style w:type="paragraph" w:styleId="Nadpis7">
    <w:name w:val="heading 7"/>
    <w:basedOn w:val="Normln"/>
    <w:next w:val="Normln"/>
    <w:link w:val="Nadpis7Char"/>
    <w:uiPriority w:val="9"/>
    <w:semiHidden/>
    <w:unhideWhenUsed/>
    <w:qFormat/>
    <w:rsid w:val="00FD3995"/>
    <w:pPr>
      <w:keepNext/>
      <w:keepLines/>
      <w:spacing w:before="40" w:after="0"/>
      <w:outlineLvl w:val="6"/>
    </w:pPr>
    <w:rPr>
      <w:rFonts w:eastAsiaTheme="majorEastAsia" w:cstheme="majorBidi"/>
      <w:color w:val="595959" w:themeColor="text1" w:themeTint="A6"/>
    </w:rPr>
  </w:style>
  <w:style w:type="paragraph" w:styleId="Nadpis8">
    <w:name w:val="heading 8"/>
    <w:basedOn w:val="Normln"/>
    <w:next w:val="Normln"/>
    <w:link w:val="Nadpis8Char"/>
    <w:uiPriority w:val="9"/>
    <w:semiHidden/>
    <w:unhideWhenUsed/>
    <w:qFormat/>
    <w:rsid w:val="00FD3995"/>
    <w:pPr>
      <w:keepNext/>
      <w:keepLines/>
      <w:spacing w:after="0"/>
      <w:outlineLvl w:val="7"/>
    </w:pPr>
    <w:rPr>
      <w:rFonts w:eastAsiaTheme="majorEastAsia" w:cstheme="majorBidi"/>
      <w:i/>
      <w:iCs/>
      <w:color w:val="272727" w:themeColor="text1" w:themeTint="D8"/>
    </w:rPr>
  </w:style>
  <w:style w:type="paragraph" w:styleId="Nadpis9">
    <w:name w:val="heading 9"/>
    <w:basedOn w:val="Normln"/>
    <w:next w:val="Normln"/>
    <w:link w:val="Nadpis9Char"/>
    <w:uiPriority w:val="9"/>
    <w:semiHidden/>
    <w:unhideWhenUsed/>
    <w:qFormat/>
    <w:rsid w:val="00FD3995"/>
    <w:pPr>
      <w:keepNext/>
      <w:keepLines/>
      <w:spacing w:after="0"/>
      <w:outlineLvl w:val="8"/>
    </w:pPr>
    <w:rPr>
      <w:rFonts w:eastAsiaTheme="majorEastAsia" w:cstheme="majorBidi"/>
      <w:color w:val="272727" w:themeColor="text1" w:themeTint="D8"/>
    </w:rPr>
  </w:style>
  <w:style w:type="character" w:default="1" w:styleId="Standardnpsmoodstavce">
    <w:name w:val="Default Paragraph Font"/>
    <w:uiPriority w:val="1"/>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FD3995"/>
    <w:rPr>
      <w:rFonts w:asciiTheme="majorHAnsi" w:eastAsiaTheme="majorEastAsia" w:hAnsiTheme="majorHAnsi" w:cstheme="majorBidi"/>
      <w:color w:val="0F4761" w:themeColor="accent1" w:themeShade="BF"/>
      <w:sz w:val="40"/>
      <w:szCs w:val="40"/>
    </w:rPr>
  </w:style>
  <w:style w:type="character" w:customStyle="1" w:styleId="Nadpis2Char">
    <w:name w:val="Nadpis 2 Char"/>
    <w:basedOn w:val="Standardnpsmoodstavce"/>
    <w:link w:val="Nadpis2"/>
    <w:uiPriority w:val="9"/>
    <w:semiHidden/>
    <w:rsid w:val="00FD3995"/>
    <w:rPr>
      <w:rFonts w:asciiTheme="majorHAnsi" w:eastAsiaTheme="majorEastAsia" w:hAnsiTheme="majorHAnsi" w:cstheme="majorBidi"/>
      <w:color w:val="0F4761" w:themeColor="accent1" w:themeShade="BF"/>
      <w:sz w:val="32"/>
      <w:szCs w:val="32"/>
    </w:rPr>
  </w:style>
  <w:style w:type="character" w:customStyle="1" w:styleId="Nadpis3Char">
    <w:name w:val="Nadpis 3 Char"/>
    <w:basedOn w:val="Standardnpsmoodstavce"/>
    <w:link w:val="Nadpis3"/>
    <w:uiPriority w:val="9"/>
    <w:semiHidden/>
    <w:rsid w:val="00FD3995"/>
    <w:rPr>
      <w:rFonts w:eastAsiaTheme="majorEastAsia" w:cstheme="majorBidi"/>
      <w:color w:val="0F4761" w:themeColor="accent1" w:themeShade="BF"/>
      <w:sz w:val="28"/>
      <w:szCs w:val="28"/>
    </w:rPr>
  </w:style>
  <w:style w:type="character" w:customStyle="1" w:styleId="Nadpis4Char">
    <w:name w:val="Nadpis 4 Char"/>
    <w:basedOn w:val="Standardnpsmoodstavce"/>
    <w:link w:val="Nadpis4"/>
    <w:uiPriority w:val="9"/>
    <w:semiHidden/>
    <w:rsid w:val="00FD3995"/>
    <w:rPr>
      <w:rFonts w:eastAsiaTheme="majorEastAsia" w:cstheme="majorBidi"/>
      <w:i/>
      <w:iCs/>
      <w:color w:val="0F4761" w:themeColor="accent1" w:themeShade="BF"/>
    </w:rPr>
  </w:style>
  <w:style w:type="character" w:customStyle="1" w:styleId="Nadpis5Char">
    <w:name w:val="Nadpis 5 Char"/>
    <w:basedOn w:val="Standardnpsmoodstavce"/>
    <w:link w:val="Nadpis5"/>
    <w:uiPriority w:val="9"/>
    <w:semiHidden/>
    <w:rsid w:val="00FD3995"/>
    <w:rPr>
      <w:rFonts w:eastAsiaTheme="majorEastAsia" w:cstheme="majorBidi"/>
      <w:color w:val="0F4761" w:themeColor="accent1" w:themeShade="BF"/>
    </w:rPr>
  </w:style>
  <w:style w:type="character" w:customStyle="1" w:styleId="Nadpis6Char">
    <w:name w:val="Nadpis 6 Char"/>
    <w:basedOn w:val="Standardnpsmoodstavce"/>
    <w:link w:val="Nadpis6"/>
    <w:uiPriority w:val="9"/>
    <w:semiHidden/>
    <w:rsid w:val="00FD3995"/>
    <w:rPr>
      <w:rFonts w:eastAsiaTheme="majorEastAsia" w:cstheme="majorBidi"/>
      <w:i/>
      <w:iCs/>
      <w:color w:val="595959" w:themeColor="text1" w:themeTint="A6"/>
    </w:rPr>
  </w:style>
  <w:style w:type="character" w:customStyle="1" w:styleId="Nadpis7Char">
    <w:name w:val="Nadpis 7 Char"/>
    <w:basedOn w:val="Standardnpsmoodstavce"/>
    <w:link w:val="Nadpis7"/>
    <w:uiPriority w:val="9"/>
    <w:semiHidden/>
    <w:rsid w:val="00FD3995"/>
    <w:rPr>
      <w:rFonts w:eastAsiaTheme="majorEastAsia" w:cstheme="majorBidi"/>
      <w:color w:val="595959" w:themeColor="text1" w:themeTint="A6"/>
    </w:rPr>
  </w:style>
  <w:style w:type="character" w:customStyle="1" w:styleId="Nadpis8Char">
    <w:name w:val="Nadpis 8 Char"/>
    <w:basedOn w:val="Standardnpsmoodstavce"/>
    <w:link w:val="Nadpis8"/>
    <w:uiPriority w:val="9"/>
    <w:semiHidden/>
    <w:rsid w:val="00FD3995"/>
    <w:rPr>
      <w:rFonts w:eastAsiaTheme="majorEastAsia" w:cstheme="majorBidi"/>
      <w:i/>
      <w:iCs/>
      <w:color w:val="272727" w:themeColor="text1" w:themeTint="D8"/>
    </w:rPr>
  </w:style>
  <w:style w:type="character" w:customStyle="1" w:styleId="Nadpis9Char">
    <w:name w:val="Nadpis 9 Char"/>
    <w:basedOn w:val="Standardnpsmoodstavce"/>
    <w:link w:val="Nadpis9"/>
    <w:uiPriority w:val="9"/>
    <w:semiHidden/>
    <w:rsid w:val="00FD3995"/>
    <w:rPr>
      <w:rFonts w:eastAsiaTheme="majorEastAsia" w:cstheme="majorBidi"/>
      <w:color w:val="272727" w:themeColor="text1" w:themeTint="D8"/>
    </w:rPr>
  </w:style>
  <w:style w:type="paragraph" w:styleId="Nzev">
    <w:name w:val="Title"/>
    <w:basedOn w:val="Normln"/>
    <w:next w:val="Normln"/>
    <w:link w:val="NzevChar"/>
    <w:uiPriority w:val="10"/>
    <w:qFormat/>
    <w:rsid w:val="00FD399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FD3995"/>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FD3995"/>
    <w:pPr>
      <w:numPr>
        <w:ilvl w:val="1"/>
      </w:numPr>
    </w:pPr>
    <w:rPr>
      <w:rFonts w:eastAsiaTheme="majorEastAsia" w:cstheme="majorBidi"/>
      <w:color w:val="595959" w:themeColor="text1" w:themeTint="A6"/>
      <w:spacing w:val="15"/>
      <w:sz w:val="28"/>
      <w:szCs w:val="28"/>
    </w:rPr>
  </w:style>
  <w:style w:type="character" w:customStyle="1" w:styleId="PodnadpisChar">
    <w:name w:val="Podnadpis Char"/>
    <w:basedOn w:val="Standardnpsmoodstavce"/>
    <w:link w:val="Podnadpis"/>
    <w:uiPriority w:val="11"/>
    <w:rsid w:val="00FD3995"/>
    <w:rPr>
      <w:rFonts w:eastAsiaTheme="majorEastAsia" w:cstheme="majorBidi"/>
      <w:color w:val="595959" w:themeColor="text1" w:themeTint="A6"/>
      <w:spacing w:val="15"/>
      <w:sz w:val="28"/>
      <w:szCs w:val="28"/>
    </w:rPr>
  </w:style>
  <w:style w:type="paragraph" w:styleId="Citt">
    <w:name w:val="Quote"/>
    <w:basedOn w:val="Normln"/>
    <w:next w:val="Normln"/>
    <w:link w:val="CittChar"/>
    <w:uiPriority w:val="29"/>
    <w:qFormat/>
    <w:rsid w:val="00FD3995"/>
    <w:pPr>
      <w:spacing w:before="160"/>
      <w:jc w:val="center"/>
    </w:pPr>
    <w:rPr>
      <w:i/>
      <w:iCs/>
      <w:color w:val="404040" w:themeColor="text1" w:themeTint="BF"/>
    </w:rPr>
  </w:style>
  <w:style w:type="character" w:customStyle="1" w:styleId="CittChar">
    <w:name w:val="Citát Char"/>
    <w:basedOn w:val="Standardnpsmoodstavce"/>
    <w:link w:val="Citt"/>
    <w:uiPriority w:val="29"/>
    <w:rsid w:val="00FD3995"/>
    <w:rPr>
      <w:i/>
      <w:iCs/>
      <w:color w:val="404040" w:themeColor="text1" w:themeTint="BF"/>
    </w:rPr>
  </w:style>
  <w:style w:type="paragraph" w:styleId="Odstavecseseznamem">
    <w:name w:val="List Paragraph"/>
    <w:basedOn w:val="Normln"/>
    <w:uiPriority w:val="34"/>
    <w:qFormat/>
    <w:rsid w:val="00FD3995"/>
    <w:pPr>
      <w:ind w:left="720"/>
      <w:contextualSpacing/>
    </w:pPr>
  </w:style>
  <w:style w:type="character" w:styleId="Zdraznnintenzivn">
    <w:name w:val="Intense Emphasis"/>
    <w:basedOn w:val="Standardnpsmoodstavce"/>
    <w:uiPriority w:val="21"/>
    <w:qFormat/>
    <w:rsid w:val="00FD3995"/>
    <w:rPr>
      <w:i/>
      <w:iCs/>
      <w:color w:val="0F4761" w:themeColor="accent1" w:themeShade="BF"/>
    </w:rPr>
  </w:style>
  <w:style w:type="paragraph" w:styleId="Vrazncitt">
    <w:name w:val="Intense Quote"/>
    <w:basedOn w:val="Normln"/>
    <w:next w:val="Normln"/>
    <w:link w:val="VrazncittChar"/>
    <w:uiPriority w:val="30"/>
    <w:qFormat/>
    <w:rsid w:val="00FD399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VrazncittChar">
    <w:name w:val="Výrazný citát Char"/>
    <w:basedOn w:val="Standardnpsmoodstavce"/>
    <w:link w:val="Vrazncitt"/>
    <w:uiPriority w:val="30"/>
    <w:rsid w:val="00FD3995"/>
    <w:rPr>
      <w:i/>
      <w:iCs/>
      <w:color w:val="0F4761" w:themeColor="accent1" w:themeShade="BF"/>
    </w:rPr>
  </w:style>
  <w:style w:type="character" w:styleId="Odkazintenzivn">
    <w:name w:val="Intense Reference"/>
    <w:basedOn w:val="Standardnpsmoodstavce"/>
    <w:uiPriority w:val="32"/>
    <w:qFormat/>
    <w:rsid w:val="00FD3995"/>
    <w:rPr>
      <w:b/>
      <w:bCs/>
      <w:smallCaps/>
      <w:color w:val="0F4761" w:themeColor="accent1" w:themeShade="BF"/>
      <w:spacing w:val="5"/>
    </w:rPr>
  </w:style>
  <w:style w:type="character" w:styleId="Hypertextovodkaz">
    <w:name w:val="Hyperlink"/>
    <w:basedOn w:val="Standardnpsmoodstavce"/>
    <w:uiPriority w:val="99"/>
    <w:unhideWhenUsed/>
    <w:rsid w:val="00FD3995"/>
    <w:rPr>
      <w:color w:val="467886" w:themeColor="hyperlink"/>
      <w:u w:val="single"/>
    </w:rPr>
  </w:style>
  <w:style w:type="paragraph" w:customStyle="1" w:styleId="Default">
    <w:name w:val="Default"/>
    <w:rsid w:val="00FD3995"/>
    <w:pPr>
      <w:autoSpaceDE w:val="0"/>
      <w:autoSpaceDN w:val="0"/>
      <w:adjustRightInd w:val="0"/>
      <w:spacing w:after="0" w:line="240" w:lineRule="auto"/>
    </w:pPr>
    <w:rPr>
      <w:rFonts w:ascii="Tahoma" w:eastAsia="Calibri" w:hAnsi="Tahoma" w:cs="Tahoma"/>
      <w:color w:val="000000"/>
      <w:kern w:val="0"/>
      <w:sz w:val="24"/>
      <w:szCs w:val="24"/>
      <w:lang w:eastAsia="cs-CZ"/>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Pages>
  <Words>388</Words>
  <Characters>2292</Characters>
  <Application>Microsoft Office Word</Application>
  <DocSecurity>0</DocSecurity>
  <Lines>19</Lines>
  <Paragraphs>5</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Bloudková Kateřina Mgr. (GFŘ)</dc:creator>
  <cp:keywords/>
  <dc:description/>
  <cp:lastModifiedBy>Bloudková Kateřina Mgr. (GFŘ)</cp:lastModifiedBy>
  <cp:revision>1</cp:revision>
  <dcterms:created xsi:type="dcterms:W3CDTF">2025-04-23T06:54:00Z</dcterms:created>
  <dcterms:modified xsi:type="dcterms:W3CDTF">2025-04-23T07:08:00Z</dcterms:modified>
</cp:coreProperties>
</file>